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78" w:rsidRPr="00B47678" w:rsidRDefault="00B47678" w:rsidP="00B47678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5BBE45BB" wp14:editId="2D8601DC">
            <wp:extent cx="2257425" cy="409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Program 20</w:t>
      </w:r>
      <w:r w:rsidR="0055696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21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pro poskytování dotací z rozpočtu Středočeského kraje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na Environmentální vzdělávání, výchovu a osvětu</w:t>
      </w: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47678" w:rsidRPr="00B47678" w:rsidRDefault="00B47678" w:rsidP="00B4767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Středočeského kraje schválilo usnesením č. </w:t>
      </w:r>
      <w:r w:rsidR="00CF542E" w:rsidRPr="00CF542E">
        <w:rPr>
          <w:rFonts w:ascii="Times New Roman" w:eastAsia="Times New Roman" w:hAnsi="Times New Roman" w:cs="Times New Roman"/>
          <w:sz w:val="24"/>
          <w:szCs w:val="24"/>
          <w:lang w:eastAsia="cs-CZ"/>
        </w:rPr>
        <w:t>026-03/2021/ZK</w:t>
      </w:r>
      <w:r w:rsidR="00CF5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ze dne </w:t>
      </w:r>
      <w:r w:rsidR="005B44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E2FB3">
        <w:rPr>
          <w:rFonts w:ascii="Times New Roman" w:eastAsia="Times New Roman" w:hAnsi="Times New Roman" w:cs="Times New Roman"/>
          <w:sz w:val="24"/>
          <w:szCs w:val="24"/>
          <w:lang w:eastAsia="cs-CZ"/>
        </w:rPr>
        <w:t>25.1.2021</w:t>
      </w:r>
      <w:r w:rsidR="005B4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96C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„Program 2021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poskytování dotací z rozpočtu Středočeského kraje na Environmentální vzdělávání, výchovu a osvětu“ (dále jen „Program“)</w:t>
      </w:r>
      <w:r w:rsidR="004C17A9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:</w:t>
      </w:r>
    </w:p>
    <w:p w:rsidR="00B47678" w:rsidRPr="00B47678" w:rsidRDefault="00B47678" w:rsidP="00B47678">
      <w:pPr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47678" w:rsidRPr="00B47678" w:rsidRDefault="00B47678" w:rsidP="00B47678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:rsidR="00B47678" w:rsidRPr="00B47678" w:rsidRDefault="00B47678" w:rsidP="00B47678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 dotace dle Programu je Středočeský kraj.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Programem se rozumí souhrn věcných, časových a finančních podmínek podpory účelu určeného Středočeským krajem v Programu.</w:t>
      </w:r>
    </w:p>
    <w:p w:rsidR="00B47678" w:rsidRPr="00B47678" w:rsidRDefault="00B47678" w:rsidP="00B47678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Dotací se rozumí peněžní prostředky poskytnuté z rozpočtu Středočeského kraje právnické nebo fyzické osobě na účel stanovený v Programu (dále jen „dotace“).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Dotaci lze poskytnout na základě žádosti o poskytnutí dotace prostřednictvím veřejnoprávní smlouvy (dále jen „žádost“).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Na poskytnutí dotace na základě žádosti není právní nárok.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O poskytnutí dotace z Programu rozhoduje Zastupitelstvo Středočeského kraje (dále jen „Zastupitelstvo“).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Dotace </w:t>
      </w: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je účelová a poskytuje se na základě veřejnoprávní smlouvy o poskytnutí dotace z Programu (dále jen</w:t>
      </w:r>
      <w:r w:rsidR="00B51D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“smlouva“), uzavřené mezi Středočeským krajem a příjemcem dotace (dále jen „příjemce“).  </w:t>
      </w:r>
    </w:p>
    <w:p w:rsidR="00B47678" w:rsidRPr="00B47678" w:rsidRDefault="00B47678" w:rsidP="00B47678">
      <w:pPr>
        <w:widowControl w:val="0"/>
        <w:numPr>
          <w:ilvl w:val="0"/>
          <w:numId w:val="1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Environmentální výchova, vzdělávání a osvěta (dále jen „EVVO“) by měla vést k myšlení a jednání, které je v souladu s principem trvale udržitelného rozvoje, k vědomí odpovědnosti za udržení kvality životního prostředí a k úctě k životu ve všech jeho formách.</w:t>
      </w: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:rsid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dotace a důvody podpory</w:t>
      </w:r>
    </w:p>
    <w:p w:rsidR="00B47678" w:rsidRPr="007317D5" w:rsidRDefault="00B47678" w:rsidP="00334A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317D5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dle tohoto Programu lze poskytnout pouze na účel, který je vymezen v rámci těchto Tematických zadání:</w:t>
      </w:r>
    </w:p>
    <w:p w:rsidR="007317D5" w:rsidRPr="00AB0349" w:rsidRDefault="002F390A" w:rsidP="007317D5">
      <w:pPr>
        <w:pStyle w:val="Odstavecseseznamem"/>
        <w:numPr>
          <w:ilvl w:val="0"/>
          <w:numId w:val="16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OSVĚTOVÁ ČINNOST</w:t>
      </w:r>
    </w:p>
    <w:p w:rsidR="00B47678" w:rsidRPr="00AB0349" w:rsidRDefault="00B47678" w:rsidP="007317D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17D5" w:rsidRPr="00AB0349" w:rsidRDefault="007317D5" w:rsidP="007317D5">
      <w:pPr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1) ekologické výukové programy, přednášky, semináře, výstavy, naučné a osvětové materiály</w:t>
      </w:r>
    </w:p>
    <w:p w:rsidR="007317D5" w:rsidRPr="00AB0349" w:rsidRDefault="007317D5" w:rsidP="007317D5">
      <w:pPr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 xml:space="preserve">2) pobyty v naučných střediscích ekologické výchovy, terénní cvičení, odborné exkurze, </w:t>
      </w:r>
      <w:r w:rsidR="003B1A9F">
        <w:rPr>
          <w:rFonts w:ascii="Times New Roman" w:hAnsi="Times New Roman" w:cs="Times New Roman"/>
          <w:sz w:val="24"/>
          <w:szCs w:val="24"/>
        </w:rPr>
        <w:t xml:space="preserve">   </w:t>
      </w:r>
      <w:r w:rsidRPr="00AB0349">
        <w:rPr>
          <w:rFonts w:ascii="Times New Roman" w:hAnsi="Times New Roman" w:cs="Times New Roman"/>
          <w:sz w:val="24"/>
          <w:szCs w:val="24"/>
        </w:rPr>
        <w:t>osvětové akce</w:t>
      </w:r>
    </w:p>
    <w:p w:rsidR="007317D5" w:rsidRPr="007317D5" w:rsidRDefault="007317D5" w:rsidP="007317D5">
      <w:pPr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3) realizace nových a obnova stávajících naučných stezek</w:t>
      </w:r>
    </w:p>
    <w:p w:rsidR="007317D5" w:rsidRPr="00AB0349" w:rsidRDefault="00AB0349" w:rsidP="00AB0349">
      <w:pPr>
        <w:spacing w:before="12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3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317D5" w:rsidRPr="00AB0349">
        <w:rPr>
          <w:rFonts w:ascii="Times New Roman" w:hAnsi="Times New Roman" w:cs="Times New Roman"/>
          <w:b/>
          <w:sz w:val="24"/>
          <w:szCs w:val="24"/>
        </w:rPr>
        <w:t>B)</w:t>
      </w:r>
      <w:r w:rsidR="007317D5" w:rsidRPr="00AB0349">
        <w:rPr>
          <w:rFonts w:ascii="Times New Roman" w:hAnsi="Times New Roman" w:cs="Times New Roman"/>
          <w:sz w:val="24"/>
          <w:szCs w:val="24"/>
        </w:rPr>
        <w:t xml:space="preserve"> </w:t>
      </w:r>
      <w:r w:rsidR="007317D5" w:rsidRPr="00AB0349">
        <w:rPr>
          <w:rFonts w:ascii="Times New Roman" w:hAnsi="Times New Roman" w:cs="Times New Roman"/>
          <w:b/>
          <w:sz w:val="24"/>
          <w:szCs w:val="24"/>
          <w:u w:val="single"/>
        </w:rPr>
        <w:t>TECHNICKÉ A ODBORNÉ ZÁZEMÍ K ZAJIŠŤOVÁNÍ EVVO</w:t>
      </w:r>
    </w:p>
    <w:p w:rsidR="00AB0349" w:rsidRPr="00AB0349" w:rsidRDefault="00AB0349" w:rsidP="00AB0349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317D5" w:rsidRPr="00BB05A1" w:rsidRDefault="00AB0349" w:rsidP="007317D5">
      <w:pPr>
        <w:rPr>
          <w:rFonts w:ascii="Times New Roman" w:hAnsi="Times New Roman" w:cs="Times New Roman"/>
          <w:sz w:val="24"/>
          <w:szCs w:val="24"/>
        </w:rPr>
      </w:pPr>
      <w:r w:rsidRPr="00AB0349">
        <w:rPr>
          <w:rFonts w:ascii="Times New Roman" w:hAnsi="Times New Roman" w:cs="Times New Roman"/>
          <w:sz w:val="24"/>
          <w:szCs w:val="24"/>
        </w:rPr>
        <w:t>1</w:t>
      </w:r>
      <w:r w:rsidR="007317D5" w:rsidRPr="00AB0349">
        <w:rPr>
          <w:rFonts w:ascii="Times New Roman" w:hAnsi="Times New Roman" w:cs="Times New Roman"/>
          <w:sz w:val="24"/>
          <w:szCs w:val="24"/>
        </w:rPr>
        <w:t xml:space="preserve">) vytváření </w:t>
      </w:r>
      <w:r w:rsidR="007317D5" w:rsidRPr="00BB05A1">
        <w:rPr>
          <w:rFonts w:ascii="Times New Roman" w:hAnsi="Times New Roman" w:cs="Times New Roman"/>
          <w:sz w:val="24"/>
          <w:szCs w:val="24"/>
        </w:rPr>
        <w:t>technického a odborného zázemí středisek EVVO</w:t>
      </w:r>
    </w:p>
    <w:p w:rsidR="00B13418" w:rsidRPr="00BB05A1" w:rsidRDefault="00B13418" w:rsidP="007317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47678" w:rsidRPr="00B47678" w:rsidRDefault="00B47678" w:rsidP="00B56B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Programu je zvyšování environmentální gramotnosti obyvatel na území Středočeského kraje, která úzce souvisí se vzděláním k udržitelnému rozvoji v souladu s krajskou koncepcí EVVO </w:t>
      </w:r>
      <w:r w:rsidR="0055696C"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>pro roky 2021 - 2026</w:t>
      </w:r>
      <w:r w:rsidRPr="00BB05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ind w:left="425" w:hanging="425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Článek 3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ind w:left="425" w:hanging="425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Objem peněžních prostředků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Předpokládaný</w:t>
      </w:r>
      <w:r w:rsidRPr="00B47678">
        <w:rPr>
          <w:rFonts w:ascii="Times New Roman" w:eastAsia="Arial Unicode MS" w:hAnsi="Times New Roman" w:cs="Mangal"/>
          <w:bCs/>
          <w:i/>
          <w:kern w:val="3"/>
          <w:sz w:val="24"/>
          <w:szCs w:val="24"/>
          <w:lang w:eastAsia="zh-CN" w:bidi="hi-IN"/>
        </w:rPr>
        <w:t xml:space="preserve"> </w:t>
      </w: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celkový objem peněžních prostředků vyčleněných v rozpočtu Středočeského kraje na podporu stanoveného účelu je </w:t>
      </w:r>
      <w:r w:rsidR="00B56B17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7 000 000</w:t>
      </w:r>
      <w:r w:rsidRPr="00B47678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Kč.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Článek 4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Výše a charakter dotace, uznatelné a neuznatelné výdaje akce/projektu</w:t>
      </w: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Minimální výše požadované dotace je stanovena na 10 000 Kč.</w:t>
      </w: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Maximální výše požadované dotace je stanovena na </w:t>
      </w:r>
      <w:r w:rsidR="007317D5"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00 000 Kč.</w:t>
      </w:r>
    </w:p>
    <w:p w:rsidR="00AB0349" w:rsidRPr="00AB0349" w:rsidRDefault="00AB0349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Maximální výše požadované dotace pro 1 žadatele je stanovena na 500 000 Kč.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poskytována i na finanční náklady akce/projektu spočívající v uhrazené dani z přidané hodnoty v souvislosti s realizací akce/projektu, a to v těchto případech: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příjemce registrovaným plátcem daně z přidané hodnoty dle zákona č. 235/2004 Sb., o dani z přidané hodnoty, ve znění pozdějších předpisů (dále jen „zákon č. 235/2004 Sb.“),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příjemce registrovaným plátcem daně z přidané hodnoty, kterému však nevznikl v souvislosti s realizací akce/projektu nárok na odpočet uhrazené daně z přidané hodnoty dle zákona č. 235/2004 Sb.,</w:t>
      </w:r>
    </w:p>
    <w:p w:rsidR="00B47678" w:rsidRPr="00B47678" w:rsidRDefault="00B47678" w:rsidP="00B47678">
      <w:pPr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příjemce registrovaným plátcem daně z přidané hodnoty, kterému vznikl v souvislosti s realizací akce/projektu pouze částečný nárok na odpočet uhrazené daně z přidané hodnoty; v tomto případě je příjemci poskytována dotace i na finanční náklady akce/projektu spočívající v uhrazené dani z přidané hodnoty, u níž příjemci nevznikl nárok na odpočet daně z přidané hodnoty dle zákona č. 235/2004 Sb.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není poskytována na finanční náklady akce/projektu spočívající v uhrazené dani z přidané hodnoty v souvislosti s realizací akce/projektu, je-li příjemce registrovaným plátcem daně z přidané hodnoty, kterému vznikl v souvislosti s realizací akce/projektu nárok na odpočet daně z přidané hodnoty ve výši uhrazené daně z přidané</w:t>
      </w:r>
      <w:r w:rsidR="00B5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hodnoty dle zákona č. 235/2004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před podáním žádosti důsledně analyzuje, zda se jedná o akci/projekt investičního charakteru či neinvestičního charakteru nebo případně kombinaci investičního a neinvestičního charakteru. Na základě této analýzy žádá o poskytnutí dotace s investičním charakterem, nebo s neinvestičním charakterem nebo případně s kombinací investičního a neinvestičního charakteru.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Budou-li náklady akce/projektu nižší oproti předpokládaným, z nichž byla dotace vypočtena, příjemce vrátí alikvotní část poskytnuté dotace.</w:t>
      </w:r>
    </w:p>
    <w:p w:rsidR="00B47678" w:rsidRP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skutečné celkové náklady akce/projektu překročí souhrn předpokládaných nákladů na realizaci akce/projektu, uhradí příjemce částku tohoto překročení z vlastních zdrojů.</w:t>
      </w:r>
    </w:p>
    <w:p w:rsidR="00B47678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náklady (včetně nákladů režijních) hrazené z dotace i ze spoluúčasti musí mít přímou a prokazatelnou souvislost s realizovaným projektem, musí být zaneseny v účetnictví žadatele a doloženy prvotními doklady.</w:t>
      </w:r>
    </w:p>
    <w:p w:rsidR="00AB0349" w:rsidRPr="00B47678" w:rsidRDefault="00AB0349" w:rsidP="00AB0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Náklady, které 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lze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hradit z dotace: 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včetně odvodů zaměstnavatele, které jsou odměnou za realizaci akce/projektu a ostatní osobní výdaje (DPP, DPČ), a to maximálně ve výši 50 % z celkové výše poskytnuté dotace.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Režijní náklady – v prostorách pronajatých a využívaných příjemcem dotace k administraci a realizaci akce/projektu (nájemné, služby související s nájemným – plyn, teplo, elektřina, voda), a to maximálně ve výši 20 % z celkové výše poskytnuté dotace.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cestovní náhrady, pohonné hmoty, věcné ceny při soutěžích.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materiálu (výdaje na pořízení spotřebního materiálu souvisejícího s akcí/projektem).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Drobný hmotný dlouhodobý majetek s pořizovací hodnotou od 3 000 Kč do 40 000 Kč, případně dlouhodobý hmotný majetek s pořizovací hodnotou vyšší než 40 000 Kč, a to s výjimkami uvedenými v čl. 4, bod 10 a 11.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 a ubytování ve střediscích ekologické výchovy, na odborných exkurzích, osvětových akcích apod.</w:t>
      </w:r>
    </w:p>
    <w:p w:rsidR="00B47678" w:rsidRPr="00AB0349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– např. pronájem prostor a techniky, tisk, distribuce publikací, grafické práce, služby odborných školitelů a průvodců.</w:t>
      </w:r>
    </w:p>
    <w:p w:rsidR="00B47678" w:rsidRDefault="00B47678" w:rsidP="00B47678">
      <w:pPr>
        <w:numPr>
          <w:ilvl w:val="0"/>
          <w:numId w:val="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na vybudování nebo rekonstrukci prostor prokazatelně využívaných v rámci EVVO. </w:t>
      </w:r>
    </w:p>
    <w:p w:rsidR="00AB0349" w:rsidRPr="00AB0349" w:rsidRDefault="00AB0349" w:rsidP="00AB0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Náklady, které 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nelze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hradit z poskytnuté dotace, ale mohou být součástí rozpočtu akce/projektu, pokud budou hrazeny v rámci finanční spoluúčasti žadatele, tzn. musí být vykázány jako „vlastní zdroje“: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Mzdové náklady včetně odvodů zaměstnavatele, které jsou odměnou za realizaci akce/projektu a ostatní osobní výdaje (DPP, DPČ), vyšší než 50 % z celkové výše poskytnuté dotace.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Režijní náklady – v prostorách pronajatých a využívaných příjemcem dotace k administraci a realizaci akce/projektu (nájemné, služby související s nájemným – plyn, teplo, elektřina, voda), vyšší než 20 % z celkové výše poskytnuté dotace.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Občerstvení a stravování.</w:t>
      </w:r>
    </w:p>
    <w:p w:rsidR="00B47678" w:rsidRPr="00AB0349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Výdaje na telefony, internet, poštovné.</w:t>
      </w:r>
    </w:p>
    <w:p w:rsidR="00B47678" w:rsidRDefault="00B47678" w:rsidP="00B47678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Stavební a řemeslnická technika, kuchyňské spotřebiče, dataprojektory, počítače, notebooky, tablety, televizory, fotoaparáty, GPS přijímače, MP3 přehrávače, zvuková technika.</w:t>
      </w:r>
    </w:p>
    <w:p w:rsidR="00AB0349" w:rsidRPr="00AB0349" w:rsidRDefault="00AB0349" w:rsidP="00AB03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78" w:rsidRPr="00AB0349" w:rsidRDefault="00B47678" w:rsidP="00B4767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b/>
          <w:sz w:val="24"/>
          <w:szCs w:val="24"/>
          <w:u w:val="single"/>
        </w:rPr>
        <w:t>Neuznatelné náklady</w:t>
      </w:r>
      <w:r w:rsidRPr="00AB0349">
        <w:rPr>
          <w:rFonts w:ascii="Times New Roman" w:eastAsia="Calibri" w:hAnsi="Times New Roman" w:cs="Times New Roman"/>
          <w:b/>
          <w:sz w:val="24"/>
          <w:szCs w:val="24"/>
        </w:rPr>
        <w:t>, které nesmí být součástí rozpočtu akce/projektu</w:t>
      </w:r>
      <w:r w:rsidRPr="00AB03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Dary (s výjimkou věcných cen při soutěžích), kapesné, bankovní poplatky, splátky půjček.</w:t>
      </w:r>
    </w:p>
    <w:p w:rsidR="00B47678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Úhrada nákladů spojená s vypracováním nabídky akce/projektu (náklady spojené s podáním žádostí o dotaci prostřednictvím veřejnoprávní smlouvy).</w:t>
      </w:r>
    </w:p>
    <w:p w:rsidR="0055696C" w:rsidRPr="00AB0349" w:rsidRDefault="0055696C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Dobrovolnická práce.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Cestovní náhrady nad rámec vymezený zákonem.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Nemovitosti a pozemky, dopravní prostředky.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DPH, o jejíž vrácení má příjemce právo zpětně žádat.</w:t>
      </w:r>
    </w:p>
    <w:p w:rsidR="00B47678" w:rsidRPr="00AB0349" w:rsidRDefault="00B47678" w:rsidP="00B476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349">
        <w:rPr>
          <w:rFonts w:ascii="Times New Roman" w:eastAsia="Calibri" w:hAnsi="Times New Roman" w:cs="Times New Roman"/>
          <w:sz w:val="24"/>
          <w:szCs w:val="24"/>
        </w:rPr>
        <w:t>Ostatní výdaje, u kterých nelze prokázat jejich přímý vztah k akci/projektu.</w:t>
      </w:r>
    </w:p>
    <w:p w:rsidR="00B47678" w:rsidRPr="00B47678" w:rsidRDefault="00B47678" w:rsidP="00B47678">
      <w:pPr>
        <w:spacing w:before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Článek 5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Lhůta pro podání žádostí,</w:t>
      </w:r>
      <w:r w:rsidRPr="00B4767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okruh způsobilých žadatelů,</w:t>
      </w: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B47678" w:rsidRPr="00B47678" w:rsidRDefault="00B47678" w:rsidP="00B4767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</w:pPr>
      <w:r w:rsidRPr="00B47678">
        <w:rPr>
          <w:rFonts w:ascii="Times New Roman" w:eastAsia="Arial Unicode MS" w:hAnsi="Times New Roman" w:cs="Mangal"/>
          <w:b/>
          <w:kern w:val="3"/>
          <w:sz w:val="24"/>
          <w:szCs w:val="24"/>
          <w:lang w:eastAsia="zh-CN" w:bidi="hi-IN"/>
        </w:rPr>
        <w:t>způsob podání žádosti, povinné přílohy žádosti, počet žádostí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Lhůta pro podání žádostí je stanovena </w:t>
      </w: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47678" w:rsidRPr="007317D5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55696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2021</w:t>
      </w:r>
      <w:r w:rsidR="0090256A"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</w:t>
      </w: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 9:00 hodin 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 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BB05A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</w:t>
      </w:r>
      <w:r w:rsidR="00CF2D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55696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2021</w:t>
      </w:r>
      <w:r w:rsidR="0090256A"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</w:t>
      </w:r>
      <w:r w:rsidR="002E31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16</w:t>
      </w:r>
      <w:r w:rsidRPr="007317D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 hodin.</w:t>
      </w:r>
      <w:r w:rsidRPr="00B4767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47678" w:rsidRPr="00AB0349" w:rsidRDefault="00B47678" w:rsidP="00B47678">
      <w:pPr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B0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Žadatelem o dotaci může být </w:t>
      </w:r>
      <w:r w:rsidR="007317D5" w:rsidRPr="00AB0349">
        <w:rPr>
          <w:rFonts w:ascii="Times New Roman" w:hAnsi="Times New Roman" w:cs="Times New Roman"/>
          <w:sz w:val="24"/>
          <w:szCs w:val="24"/>
        </w:rPr>
        <w:t xml:space="preserve">právnická osoba, nestátní nezisková organizace, obec, </w:t>
      </w:r>
      <w:r w:rsidR="007317D5" w:rsidRPr="00AB0349">
        <w:rPr>
          <w:rFonts w:ascii="Times New Roman" w:hAnsi="Times New Roman" w:cs="Times New Roman"/>
          <w:b/>
          <w:sz w:val="24"/>
          <w:szCs w:val="24"/>
        </w:rPr>
        <w:t>příspěvková organizace, jejímž zřizovatelem není Středočeský kraj</w:t>
      </w:r>
      <w:r w:rsidR="007317D5" w:rsidRPr="00AB0349">
        <w:rPr>
          <w:rFonts w:ascii="Times New Roman" w:hAnsi="Times New Roman" w:cs="Times New Roman"/>
          <w:sz w:val="24"/>
          <w:szCs w:val="24"/>
        </w:rPr>
        <w:t>, obchodní společnost aj., podnikající fyzická osoba (OSVČ) a fyzická osoba nepodnikající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B47678" w:rsidRPr="00AB0349" w:rsidRDefault="00B47678" w:rsidP="00B47678">
      <w:pPr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 může předložit v rámci tohoto Programu více žádostí, a to samostat</w:t>
      </w:r>
      <w:r w:rsid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ně na každou akci/projekt, která</w:t>
      </w: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splňuje požadavky tohoto Programu, maximálně však </w:t>
      </w:r>
      <w:r w:rsidRPr="007317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celkovém součtu požadovaných dotací uvedených v žádostech žadatele ve výši </w:t>
      </w:r>
      <w:r w:rsidR="007317D5"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AB03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00 000,- Kč.</w:t>
      </w:r>
    </w:p>
    <w:p w:rsidR="00B47678" w:rsidRPr="007317D5" w:rsidRDefault="00B47678" w:rsidP="00B47678">
      <w:pPr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17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rámci jedné žádosti nelze kombinovat více Tematických zadání.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17D5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7317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31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podání žádosti a jejich povinné přílohy stanovuje </w:t>
      </w:r>
      <w:r w:rsidRPr="007317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„Metodický pokyn k podávání žádostí o dotace prostřednictvím veřejnoprávní s</w:t>
      </w:r>
      <w:r w:rsidR="003354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mlouvy z Programu 2021</w:t>
      </w: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poskytování dotací z rozpočtu Středočeského kraje na Environmentální vzdělávání, výchovu a osvětu“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uveden </w:t>
      </w:r>
      <w:r w:rsidRPr="00B4767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Příloze č. 1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tomuto Programu (dále jen „Metodický pokyn k podávání žádostí“) a je jeho nedílnou součástí.</w:t>
      </w:r>
    </w:p>
    <w:p w:rsidR="00B47678" w:rsidRPr="00B47678" w:rsidRDefault="00B47678" w:rsidP="00B47678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Vzor Žádosti o poskytnutí dotace je uveden </w:t>
      </w:r>
      <w:r w:rsidRPr="00B4767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Příloze č. 2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tomuto Programu a je jeho nedílnou součástí. Součástí Žádosti o poskytnutí dotace je povinné prohlášení žadatele.</w:t>
      </w:r>
    </w:p>
    <w:p w:rsidR="00462298" w:rsidRDefault="00462298" w:rsidP="00B47678">
      <w:pPr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349" w:rsidRDefault="00AB0349" w:rsidP="00B47678">
      <w:pPr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349" w:rsidRPr="00B47678" w:rsidRDefault="00AB0349" w:rsidP="00B47678">
      <w:pPr>
        <w:spacing w:before="120" w:after="2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6</w:t>
      </w:r>
    </w:p>
    <w:p w:rsidR="00582E43" w:rsidRPr="00F93D61" w:rsidRDefault="00582E43" w:rsidP="00582E43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61">
        <w:rPr>
          <w:rFonts w:ascii="Times New Roman" w:hAnsi="Times New Roman" w:cs="Times New Roman"/>
          <w:b/>
          <w:sz w:val="24"/>
          <w:szCs w:val="24"/>
        </w:rPr>
        <w:t>Kontrola, hodnocení žádostí a lhůta pro rozhodnutí o žádosti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>Za řádně podanou žádost se považuje žádost podaná zároveň v elektronické podobě (prostřednictvím aplikace) i v písemné podobě, ve lhůtě stanovené v tomto Programu a se všemi povinnými přílohami stanovenými v tomto Programu.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 xml:space="preserve">Odbor životního prostředí a zemědělství provede formální kontrolu podaných žádostí. Žádosti, které nebudou řádně podány, budou vyřazeny z dotačního řízení. </w:t>
      </w:r>
    </w:p>
    <w:p w:rsidR="00582E43" w:rsidRPr="00F93D61" w:rsidRDefault="00582E43" w:rsidP="00582E43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61">
        <w:rPr>
          <w:rFonts w:ascii="Times New Roman" w:hAnsi="Times New Roman" w:cs="Times New Roman"/>
          <w:color w:val="000000"/>
          <w:sz w:val="24"/>
          <w:szCs w:val="24"/>
        </w:rPr>
        <w:t>V případě formálních nedostatků řádně podaných žádostí nebo nedostatků v obsahu jejich povinných příloh vyzve Odbor životního prostředí a zemědělství žadatele prostřednictvím internetové aplikace k dop</w:t>
      </w:r>
      <w:r w:rsidR="00F93D61">
        <w:rPr>
          <w:rFonts w:ascii="Times New Roman" w:hAnsi="Times New Roman" w:cs="Times New Roman"/>
          <w:color w:val="000000"/>
          <w:sz w:val="24"/>
          <w:szCs w:val="24"/>
        </w:rPr>
        <w:t xml:space="preserve">lnění. </w:t>
      </w:r>
      <w:r w:rsidRPr="00F93D61">
        <w:rPr>
          <w:rFonts w:ascii="Times New Roman" w:hAnsi="Times New Roman" w:cs="Times New Roman"/>
          <w:color w:val="000000"/>
          <w:sz w:val="24"/>
          <w:szCs w:val="24"/>
        </w:rPr>
        <w:t>Nedoplnění žádosti ve lhůtě do 5 pracovních dnů od výzvy k doplnění je důvodem k vyřazení žádosti z dotačního řízení.</w:t>
      </w:r>
    </w:p>
    <w:p w:rsidR="00B47678" w:rsidRPr="00F93D61" w:rsidRDefault="00B47678" w:rsidP="00B47678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hodnoceny </w:t>
      </w:r>
      <w:r w:rsid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>dle následujících krité</w:t>
      </w:r>
      <w:r w:rsidR="00F93D61" w:rsidRPr="00F93D61">
        <w:rPr>
          <w:rFonts w:ascii="Times New Roman" w:eastAsia="Times New Roman" w:hAnsi="Times New Roman" w:cs="Times New Roman"/>
          <w:sz w:val="24"/>
          <w:szCs w:val="24"/>
          <w:lang w:eastAsia="cs-CZ"/>
        </w:rPr>
        <w:t>rií:</w:t>
      </w:r>
    </w:p>
    <w:p w:rsidR="00F93D61" w:rsidRPr="00653D76" w:rsidRDefault="00F93D61" w:rsidP="00F93D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559"/>
      </w:tblGrid>
      <w:tr w:rsidR="005F1677" w:rsidRPr="00653D76" w:rsidTr="00462298">
        <w:trPr>
          <w:trHeight w:val="1384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1. Kvalita akce/projektu – kvalita zpracování žádosti, odborná úroveň, inovativnost akce/projektu.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Přehledné zpracování postupu realizace včetně předpokládaného harmonogramu, konkrétní potřeby, problémová místa území, zkušenosti žadatele.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9– 17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3CB9"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8– 2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F1677" w:rsidRPr="00653D76" w:rsidTr="00462298">
        <w:trPr>
          <w:trHeight w:val="126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2. Přínos akce/projektu – význam akce/projektu z hlediska dopadu na území a cílové skupiny, má akce/projekt jasně měřitelné, konkrétní výstupy.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Cílové skupiny jsou jasně definovány, je zřejmý přínos žádosti z hlediska potřeb těchto skupin, krajský význam projektu.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Max. 2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 – 17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– 25</w:t>
            </w:r>
          </w:p>
        </w:tc>
      </w:tr>
      <w:tr w:rsidR="005F1677" w:rsidRPr="00653D76" w:rsidTr="00462298">
        <w:trPr>
          <w:trHeight w:val="1394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3. Udržitelnost akce/projektu – jsou využívány i jiné zdroje financování, je akce/projekt udržitelný v následujících letech, existují návazné aktivity, kde budou využity výstupy z akce/projektu.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Doba dopadu projektu v čase, vysoká míra potřebnosti k dosažení cílů kraje v oblasti </w:t>
            </w:r>
            <w:proofErr w:type="spellStart"/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OŽPaZ</w:t>
            </w:r>
            <w:proofErr w:type="spellEnd"/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při naplňování principů trvale udržitelného rozvoje.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Max. 15 bodů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5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– 10</w:t>
            </w:r>
          </w:p>
        </w:tc>
      </w:tr>
      <w:tr w:rsidR="005F1677" w:rsidRPr="00653D76" w:rsidTr="00462298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CC7CC0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 – 15</w:t>
            </w:r>
          </w:p>
        </w:tc>
      </w:tr>
      <w:tr w:rsidR="005F1677" w:rsidRPr="00653D76" w:rsidTr="00462298">
        <w:trPr>
          <w:trHeight w:val="315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4. Výše spolufinancování projektu ze strany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poskytovatele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462298">
        <w:trPr>
          <w:trHeight w:val="6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body budou přidělovány podle vzorce: počet bodů = (míra spolufinancování v %) x 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5</w:t>
            </w:r>
          </w:p>
        </w:tc>
      </w:tr>
      <w:tr w:rsidR="005F1677" w:rsidRPr="00653D76" w:rsidTr="00F93D61">
        <w:trPr>
          <w:trHeight w:val="33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spolufinancování vyšší než 50 %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5F1677" w:rsidRPr="00653D76" w:rsidTr="00F93D61">
        <w:trPr>
          <w:trHeight w:val="111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5. Efektivita využití finančních </w:t>
            </w:r>
            <w:r w:rsidR="00CC7CC0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prostředků – přiměřenost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výdajů a účelnost jejich využití, komentář k rozpočtu. </w:t>
            </w: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Ověřitelné výstupy projektu, podrobný a přehledný rozpočet, výdaje jsou nezbytné, přiměřené a efektivní pro jeho realizaci.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77" w:rsidRPr="00B56B17" w:rsidRDefault="005F1677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="00993CB9"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  <w:r w:rsidRPr="00B56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5F1677" w:rsidRPr="00653D76" w:rsidTr="00F93D61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Nedostatečná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8</w:t>
            </w:r>
          </w:p>
        </w:tc>
      </w:tr>
      <w:tr w:rsidR="005F1677" w:rsidRPr="00653D76" w:rsidTr="00F93D61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9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9– 17</w:t>
            </w:r>
          </w:p>
        </w:tc>
      </w:tr>
      <w:tr w:rsidR="005F1677" w:rsidRPr="005F1677" w:rsidTr="00F93D61">
        <w:trPr>
          <w:trHeight w:val="33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77" w:rsidRPr="00B56B17" w:rsidRDefault="005F1677" w:rsidP="005F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77" w:rsidRPr="00B56B17" w:rsidRDefault="00993CB9" w:rsidP="005F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5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– 25</w:t>
            </w:r>
          </w:p>
        </w:tc>
      </w:tr>
    </w:tbl>
    <w:p w:rsidR="00B47678" w:rsidRDefault="00B47678" w:rsidP="004622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4229" w:rsidRDefault="00F93D61" w:rsidP="007E4229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počet bodů je 100. Odbor životního prostředí a zemědělství provede formální kontrolu podaných žádostí. Žádosti, které nebudou řádně podány nebo nebudou odpovídat Programu, budou vyřazeny z dotačního řízení a nebudou předloženy Hodnoticí komisi.</w:t>
      </w:r>
    </w:p>
    <w:p w:rsidR="00744C95" w:rsidRPr="00744C95" w:rsidRDefault="00F93D61" w:rsidP="00B85504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Hodnoti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 Komise je složena z členů Výboru pro životní 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zemědělství (dále jen „Hodnoti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>cí komise“),</w:t>
      </w:r>
      <w:r w:rsidR="00B177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jmenovaných radní</w:t>
      </w:r>
      <w:r w:rsidR="00744C95" w:rsidRPr="00744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oblast životního prostředí a zemědělství.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 xml:space="preserve">Výsledné bodové hodnocení žádosti je rovno průměru všech udělených bodů vůči počtu členů hodnotící komise, kteří odevzdají platný protokol hodnocení žádostí. V případě rovnosti výsledného bodového hodnocení žádostí je pořadí žádostí stanoveno podle data </w:t>
      </w:r>
      <w:r w:rsidRPr="002C541C">
        <w:rPr>
          <w:rFonts w:ascii="Times New Roman" w:hAnsi="Times New Roman" w:cs="Times New Roman"/>
          <w:sz w:val="24"/>
          <w:szCs w:val="24"/>
        </w:rPr>
        <w:br/>
        <w:t xml:space="preserve">a času elektronického podání žádosti. V odůvodněných případech, například z důvodu významné odchylky bodového hodnocení člena hodnotící komise oproti průměrnému bodovému hodnocení ostatních členů hodnotící komise nebo při zjištění jiných závažných nedostatků v hodnocení člena hodnotící komise je Rada kraje oprávněna rozhodnout </w:t>
      </w:r>
      <w:r w:rsidRPr="002C541C">
        <w:rPr>
          <w:rFonts w:ascii="Times New Roman" w:hAnsi="Times New Roman" w:cs="Times New Roman"/>
          <w:sz w:val="24"/>
          <w:szCs w:val="24"/>
        </w:rPr>
        <w:br/>
        <w:t>o nápravném opatření, například o nezap</w:t>
      </w:r>
      <w:r w:rsidR="002C541C" w:rsidRPr="002C541C">
        <w:rPr>
          <w:rFonts w:ascii="Times New Roman" w:hAnsi="Times New Roman" w:cs="Times New Roman"/>
          <w:sz w:val="24"/>
          <w:szCs w:val="24"/>
        </w:rPr>
        <w:t>očítání hodnocení daného člena Hodnoti</w:t>
      </w:r>
      <w:r w:rsidRPr="002C541C">
        <w:rPr>
          <w:rFonts w:ascii="Times New Roman" w:hAnsi="Times New Roman" w:cs="Times New Roman"/>
          <w:sz w:val="24"/>
          <w:szCs w:val="24"/>
        </w:rPr>
        <w:t xml:space="preserve">cí komise do výsledného průměru hodnocení žádostí, případně o nezapočítání nejvyššího </w:t>
      </w:r>
      <w:r w:rsidRPr="002C541C">
        <w:rPr>
          <w:rFonts w:ascii="Times New Roman" w:hAnsi="Times New Roman" w:cs="Times New Roman"/>
          <w:sz w:val="24"/>
          <w:szCs w:val="24"/>
        </w:rPr>
        <w:br/>
        <w:t>a nejnižšího bodového hodnocení u všech žádostí do výsledného průměru hodnocení žádostí.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>O poskytnutí dotace z rozpočtu Středočeského kraje rozhoduje v rozsahu pravomocí daných zákonem č. 129/2000 Sb., o krajích (krajské zřízení), ve znění pozdějších předpisů, Zastupitelstvo</w:t>
      </w:r>
      <w:r w:rsidR="002C541C" w:rsidRPr="002C541C">
        <w:rPr>
          <w:rFonts w:ascii="Times New Roman" w:hAnsi="Times New Roman" w:cs="Times New Roman"/>
          <w:sz w:val="24"/>
          <w:szCs w:val="24"/>
        </w:rPr>
        <w:t xml:space="preserve"> Středočeského kraje</w:t>
      </w:r>
      <w:r w:rsidRPr="002C541C">
        <w:rPr>
          <w:rFonts w:ascii="Times New Roman" w:hAnsi="Times New Roman" w:cs="Times New Roman"/>
          <w:sz w:val="24"/>
          <w:szCs w:val="24"/>
        </w:rPr>
        <w:t xml:space="preserve"> na základě návrhu Rady </w:t>
      </w:r>
      <w:r w:rsidR="002C541C" w:rsidRPr="002C541C">
        <w:rPr>
          <w:rFonts w:ascii="Times New Roman" w:hAnsi="Times New Roman" w:cs="Times New Roman"/>
          <w:sz w:val="24"/>
          <w:szCs w:val="24"/>
        </w:rPr>
        <w:t xml:space="preserve">Středočeského </w:t>
      </w:r>
      <w:r w:rsidRPr="002C541C">
        <w:rPr>
          <w:rFonts w:ascii="Times New Roman" w:hAnsi="Times New Roman" w:cs="Times New Roman"/>
          <w:sz w:val="24"/>
          <w:szCs w:val="24"/>
        </w:rPr>
        <w:t xml:space="preserve">kraje. </w:t>
      </w:r>
    </w:p>
    <w:p w:rsidR="00744C95" w:rsidRPr="002C541C" w:rsidRDefault="00744C95" w:rsidP="00744C95">
      <w:pPr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1C">
        <w:rPr>
          <w:rFonts w:ascii="Times New Roman" w:hAnsi="Times New Roman" w:cs="Times New Roman"/>
          <w:sz w:val="24"/>
          <w:szCs w:val="24"/>
        </w:rPr>
        <w:t>Pro jednání Rady kraje připravuje podklady Odbor životního prostředí a zemědělství na základě výsledků jednání Hodnot</w:t>
      </w:r>
      <w:r w:rsidR="002C541C" w:rsidRPr="002C541C">
        <w:rPr>
          <w:rFonts w:ascii="Times New Roman" w:hAnsi="Times New Roman" w:cs="Times New Roman"/>
          <w:sz w:val="24"/>
          <w:szCs w:val="24"/>
        </w:rPr>
        <w:t>i</w:t>
      </w:r>
      <w:r w:rsidRPr="002C541C">
        <w:rPr>
          <w:rFonts w:ascii="Times New Roman" w:hAnsi="Times New Roman" w:cs="Times New Roman"/>
          <w:sz w:val="24"/>
          <w:szCs w:val="24"/>
        </w:rPr>
        <w:t>cí komise, která může navrhnout poskytnutí nižší výše dotace, než byla požadována žadatelem v žádos</w:t>
      </w:r>
      <w:r w:rsidR="002C541C" w:rsidRPr="002C541C">
        <w:rPr>
          <w:rFonts w:ascii="Times New Roman" w:hAnsi="Times New Roman" w:cs="Times New Roman"/>
          <w:sz w:val="24"/>
          <w:szCs w:val="24"/>
        </w:rPr>
        <w:t>ti, tento návrh musí být Hodnoti</w:t>
      </w:r>
      <w:r w:rsidRPr="002C541C">
        <w:rPr>
          <w:rFonts w:ascii="Times New Roman" w:hAnsi="Times New Roman" w:cs="Times New Roman"/>
          <w:sz w:val="24"/>
          <w:szCs w:val="24"/>
        </w:rPr>
        <w:t>cí komisí odůvodněn, důvodem může být i poskytnutí dotace více žadatelům.</w:t>
      </w:r>
    </w:p>
    <w:p w:rsidR="00B47678" w:rsidRPr="00B47678" w:rsidRDefault="00B47678" w:rsidP="00B47678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Lhůta pro rozhodnutí o žádosti je stanovena na 180 dnů od podání žádosti</w:t>
      </w: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47678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:rsidR="00B47678" w:rsidRPr="00B47678" w:rsidRDefault="00B47678" w:rsidP="00B47678">
      <w:pPr>
        <w:tabs>
          <w:tab w:val="num" w:pos="1224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7</w:t>
      </w: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pro poskytnutí dotace, omezení podpory a povinnosti příjemce</w:t>
      </w:r>
    </w:p>
    <w:p w:rsidR="00B47678" w:rsidRPr="00B47678" w:rsidRDefault="00B47678" w:rsidP="00B47678">
      <w:pPr>
        <w:tabs>
          <w:tab w:val="num" w:pos="122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lze poskytnout na základě řádně podané úplné žádosti zpracované v souladu s Programem a Metodickým pokynem k podávání žádostí.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Akce/Projekt musí být příjemcem dotace realizován na území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Dotaci z Programu je možné poskytnout na akce/projekty spolufinancované ze státního rozpočtu a prostředků Evropské unie (v případě povolení spolufinancování v programech státního rozpočtu nebo Evropské unie).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Jednu akci/projekt dle tohoto Programu není možné podpořit z více dotačních titulů (Fondů)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lze poskytnout žadateli, který nemá ke dni podání žádosti závazky po lhůtě jejich splatnosti ve vztahu k rozpočtu Středočeského kraje a závazky po lhůtě splatnosti vůči příspěvkovým organizacím Středočeského kraje a vůči dalším právnickým osobám, jejichž je Středočeský kraj zřizovatelem nebo zakladatelem, a který není v žádném soudním sporu se Středočeským krajem nebo příspěvkovou organizací Středočeského kraje nebo s jinou právnickou osobou, jejíž je Středočeský kraj zřizovatelem nebo zakladatelem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při čerpání dotace povinen postupovat v souladu s příslušnými platnými obecně závaznými právními předpisy.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 dodavatele veřejné zakázky musí být příjemcem proveden v souladu se zákonem č. 134/2016 Sb., o zadávání veřejných zakázek, ve znění pozdějších předpisů. Příjemce je povinen při zadání veřejné zakázky dodržovat zásady transparentnosti, rovného zacházení a zákazu diskriminace. Při výběrovém řízení musí příjemce uplatnit hodnotící kritérium nabídkové ceny s váhou minimálně 60 % u veřejných zakázek na služby a s váhou minimálně 80% u veřejných zakázek na dodávky a na stavební práce; výjimku z tohoto ustanovení může povolit Rada na základě žádosti příjemce, obsahující odůvodnění přiměřenosti stanovených hodnotících kritérií.</w:t>
      </w:r>
    </w:p>
    <w:p w:rsidR="00B47678" w:rsidRPr="00B47678" w:rsidRDefault="00B47678" w:rsidP="00B47678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zadávat veřejné zakázky malého rozsahu za cenu maximálně ve výši ceny v místě a čase obvyklé. </w:t>
      </w:r>
    </w:p>
    <w:p w:rsidR="00B47678" w:rsidRPr="00B47678" w:rsidRDefault="00B47678" w:rsidP="00B47678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 veřejných zakázek malého rozsahu s hodnotou plnění, která převýší 200 000 Kč bez DPH, je příjemce povinen prokázat oslovení alespoň tří dodavatelů u veřejných zakázek na dodávky a na služby a pěti dodavatelů u veřejných zakázek na stavební práce s těmito výjimkami:</w:t>
      </w:r>
    </w:p>
    <w:p w:rsidR="00B47678" w:rsidRPr="00B47678" w:rsidRDefault="00B47678" w:rsidP="00B47678">
      <w:pPr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neprovádí oslovení tří dodavatelů u veřejných zakázek na dodávky a na služby a pěti dodavatelů u veřejných zakázek na stavební práce, pokud plnění veřejné zakázky malého rozsahu může prokazatelně poskytnout pouze jeden dodavatel. </w:t>
      </w:r>
    </w:p>
    <w:p w:rsidR="00B47678" w:rsidRPr="00B47678" w:rsidRDefault="00B47678" w:rsidP="00B47678">
      <w:pPr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plnění veřejné zakázky malého rozsahu mohou prokazatelně poskytnout pouze dva dodavatelé, osloví příjemce pouze tyto dva dodavatele.</w:t>
      </w:r>
    </w:p>
    <w:p w:rsidR="00B47678" w:rsidRPr="00B47678" w:rsidRDefault="00B47678" w:rsidP="00B47678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životního prostředí a zemědělství, Odbor</w:t>
      </w:r>
      <w:r w:rsidR="004C1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interního auditu a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Krajského úřadu Středočeského k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raje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mohou od příjemce vyžádat dokumentaci zadávacího řízení na veřejnou zakázku včetně výsledků výběrového řízení; toto ustanovení platí i pro veřejné zakázky malého rozsahu s hodnotou plnění, která převýší 200 000 Kč bez DPH.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a blízké osoby příjemce nebo osoby ovládající příjemce či osoby příjemcem ovládané se nesmějí podílet na plnění veřejných zakázek zadávaných příjemcem, spočívajících v poskytování dodávek, služeb a stavebních prací spojených s realizací akce/projektu, které jsou hrazeny z poskytnuté dotace a rovněž z vlastních zdrojů příjemce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(ani působit jako subdodavatel veřejných zakázek zadávaných příjemcem). Výjimku z tohoto ustanovení může udělit na základě písemné žádosti příjemce Rada. </w:t>
      </w:r>
    </w:p>
    <w:p w:rsidR="00B47678" w:rsidRPr="00B47678" w:rsidRDefault="00B47678" w:rsidP="00B47678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tohoto odstavce neplatí, jestliže příjemce dotace postupuje podle § 11 zákona č. 134/2016 Sb., o zadávání veřejných zakázek, ve znění pozdějších předpisů.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pořízený či zhodnocený s účastí dotace nesmí být prodán, darován nebo bezúplatně převeden na jinou právnickou nebo fyzickou osobu po dobu pěti let od data ukončení realizace akce/projektu. Výjimku z tohoto ustanovení může udělit na základě písemné žádosti příjemce Rada.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pořízený či zhodnocený s účastí dotace musí sloužit po dobu pěti let od data ukončení realizace akce/projektu k účelu, na který byla dotace poskytnuta. Výjimku z tohoto ustanovení může udělit na základě písemné žádosti příjemce Rada.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se poskytuje bezhotovostním převodem na bankovní účet příjemce. Pokud je příjemcem příspěvková organizace zřízená obcí, plní funkci zprostředkovatele peněžních prostředků ve vztahu k organizaci dle zákona č. 250/2000 Sb., o rozpočtových pravidlech územních rozpočtů, ve znění pozdějších předpisů, obec.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předložit v určeném termínu povinné dokumenty pro přípravu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podpis smlouvy. Tyto dokumenty stanoví Odbor životního prostředí a zemědělství. V případě nedoložení těchto dokumentů v daném termínu nebude s příjemcem smlouva uzavřena.</w:t>
      </w:r>
    </w:p>
    <w:p w:rsidR="00B47678" w:rsidRPr="00CF7F8B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dotaci použít jen v daném období a k účelu, na který mu byla poskytnuta.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souhlasí s tím, že akce/projekt nebude generovat žádný zisk.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může zahájit realizaci akce/projektu ještě před podpisem smlouvy, respektive před 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Zastupitelstva, kterým bylo schváleno poskytnutí dotace příjemci. Uznatelné náklady akce/projektu jsou náklady vzniklé příjemci v souvislosti s realizací akce/projektu </w:t>
      </w:r>
      <w:r w:rsidRPr="005E0C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</w:t>
      </w:r>
      <w:r w:rsidR="005569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podmínky, že se jedná o uznatelné náklady akce/projektu, na který byla příjemci dotace poskytnuta. 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Akce/projekt musí být ukončena v termínu st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anoveném smlouvou.</w:t>
      </w:r>
      <w:r w:rsidR="00B5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Výjimku z tohoto ustanovení může udělit na základě písemné žádosti příjemce Rada.</w:t>
      </w:r>
    </w:p>
    <w:p w:rsidR="00B47678" w:rsidRPr="0090256A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Nevyčerpané peněžní prostředky je příjemce povinen vrátit na účet Středočeského kraje v termínu stanoveném smlouvou.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56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rozpočtové kázně příjemcem bude posuzována dle § 22 zákona č. 250/2000 Sb.,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rozpočtových pravidlech územních rozpočtů, ve znění pozdějších předpisů a dle obsahu tohoto Programu a uzavřené smlouvy. Porušením rozpočtové kázně se rozumí každé neoprávněné použití nebo zadržení peněžních prostředků poskytnutých jako dotace z rozpočtu Středočeského kraje.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Příjemce, který použije dotaci v rozporu s Programem a uzavřenou smlouvou, je povinen dotaci nebo její část použitou v rozporu s Programem a uzavřenou smlouvou neprodleně odvést zpět na účet Středočeského kraje a uhradit penále stanovené smlouvou.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Středočeský kraj může ve smlouvě vymezit podmínky, jejichž porušení bude považováno za méně závažné, za které se uloží odvod za porušení rozpočtové kázně nižší, než odpovídající výši poskytnutých peněžních prostředků.</w:t>
      </w:r>
    </w:p>
    <w:p w:rsidR="00D20523" w:rsidRPr="00CF2D93" w:rsidRDefault="00D20523" w:rsidP="00671C92">
      <w:pPr>
        <w:pStyle w:val="Odstavecseseznamem"/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D93">
        <w:rPr>
          <w:rFonts w:ascii="Times New Roman" w:hAnsi="Times New Roman" w:cs="Times New Roman"/>
          <w:sz w:val="24"/>
          <w:szCs w:val="24"/>
        </w:rPr>
        <w:lastRenderedPageBreak/>
        <w:t>Příjemce je povinen vrátit rozdíl mezi příjmy a výdaji až do výše poskytnuté dotace</w:t>
      </w:r>
      <w:r w:rsidR="00DD6DB2" w:rsidRPr="00CF2D93">
        <w:rPr>
          <w:rFonts w:ascii="Times New Roman" w:hAnsi="Times New Roman" w:cs="Times New Roman"/>
          <w:sz w:val="24"/>
          <w:szCs w:val="24"/>
        </w:rPr>
        <w:t>, pokud součet skutečných příjmů</w:t>
      </w:r>
      <w:r w:rsidRPr="00CF2D93">
        <w:rPr>
          <w:rFonts w:ascii="Times New Roman" w:hAnsi="Times New Roman" w:cs="Times New Roman"/>
          <w:sz w:val="24"/>
          <w:szCs w:val="24"/>
        </w:rPr>
        <w:t> projektu včetně poskytnuté dotace přesáhne skutečné celkové uznatelné finanční náklady projektu.</w:t>
      </w:r>
      <w:r w:rsidR="00DD6DB2" w:rsidRPr="00CF2D93">
        <w:rPr>
          <w:rFonts w:ascii="Times New Roman" w:hAnsi="Times New Roman" w:cs="Times New Roman"/>
          <w:sz w:val="24"/>
          <w:szCs w:val="24"/>
        </w:rPr>
        <w:t xml:space="preserve"> </w:t>
      </w:r>
      <w:r w:rsidRPr="00CF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účtuje poskytnutou dotaci v souladu s platnými obecně závaznými právními předpisy.</w:t>
      </w:r>
    </w:p>
    <w:p w:rsidR="00B47678" w:rsidRP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dotace včetně dodržení účelu dotace, Programu, smlouvy, platných obecně závazných právn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předpisů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podléhá kontrole příslušných orgánů Středočeského kraje, Odboru životního prostředí a zemědělství a Odboru </w:t>
      </w:r>
      <w:r w:rsidR="004C1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interního auditu a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kontroly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Krajského úřadu Středočeského kraje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</w:t>
      </w:r>
      <w:r w:rsidR="005E0C3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vypracovat a předložit d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okumentaci závěrečného vyhodnocení a vyúčtování akce/projektu poskytnuté dotace dle podmínek a termínu stanovených smlouvou.</w:t>
      </w:r>
    </w:p>
    <w:p w:rsidR="00A44C3C" w:rsidRPr="00CF2D93" w:rsidRDefault="00A44C3C" w:rsidP="005A05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D9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publikovat výsledky projektu a jeho evaluaci na stránkách žadatele formou tiskové zprávy.</w:t>
      </w:r>
    </w:p>
    <w:p w:rsidR="00B47678" w:rsidRDefault="00B47678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zavazuje v průběhu i po ukončení realizace akce/projektu, pokud to povaha akce/projektu dovoluje, označit, že akce/projekt byl realizován s přispěním Středočeského kraje.</w:t>
      </w:r>
    </w:p>
    <w:p w:rsidR="005E0C34" w:rsidRPr="00B47678" w:rsidRDefault="005E0C34" w:rsidP="00B4767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podmínky čerpání a účtování budou poskytovatelem zahrnuty do smlouvy.</w:t>
      </w:r>
    </w:p>
    <w:p w:rsidR="00B47678" w:rsidRPr="00B47678" w:rsidRDefault="00B47678" w:rsidP="00B47678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8</w:t>
      </w:r>
    </w:p>
    <w:p w:rsidR="00B47678" w:rsidRPr="00B47678" w:rsidRDefault="00B47678" w:rsidP="00B4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B47678" w:rsidRPr="00B47678" w:rsidRDefault="00B47678" w:rsidP="00B4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Program nabývá účinnosti dne </w:t>
      </w:r>
      <w:proofErr w:type="spellStart"/>
      <w:r w:rsidR="0055696C" w:rsidRPr="0033547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</w:t>
      </w:r>
      <w:proofErr w:type="spellEnd"/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678" w:rsidRPr="00B47678" w:rsidRDefault="00B47678" w:rsidP="00B4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dne:</w:t>
      </w:r>
      <w:r w:rsidR="0035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5696C" w:rsidRPr="0033547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</w:t>
      </w:r>
      <w:proofErr w:type="spellEnd"/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 w:rsidRPr="00B47678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dne: ……….</w:t>
      </w:r>
    </w:p>
    <w:p w:rsidR="00550070" w:rsidRPr="00B47678" w:rsidRDefault="00550070" w:rsidP="00B47678">
      <w:pPr>
        <w:tabs>
          <w:tab w:val="left" w:pos="903"/>
        </w:tabs>
      </w:pPr>
    </w:p>
    <w:sectPr w:rsidR="00550070" w:rsidRPr="00B476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53" w:rsidRDefault="00895553" w:rsidP="00B0317B">
      <w:pPr>
        <w:spacing w:after="0" w:line="240" w:lineRule="auto"/>
      </w:pPr>
      <w:r>
        <w:separator/>
      </w:r>
    </w:p>
  </w:endnote>
  <w:endnote w:type="continuationSeparator" w:id="0">
    <w:p w:rsidR="00895553" w:rsidRDefault="00895553" w:rsidP="00B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45973"/>
      <w:docPartObj>
        <w:docPartGallery w:val="Page Numbers (Bottom of Page)"/>
        <w:docPartUnique/>
      </w:docPartObj>
    </w:sdtPr>
    <w:sdtEndPr/>
    <w:sdtContent>
      <w:p w:rsidR="00B0317B" w:rsidRDefault="00B031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2E">
          <w:rPr>
            <w:noProof/>
          </w:rPr>
          <w:t>1</w:t>
        </w:r>
        <w:r>
          <w:fldChar w:fldCharType="end"/>
        </w:r>
      </w:p>
    </w:sdtContent>
  </w:sdt>
  <w:p w:rsidR="00B0317B" w:rsidRDefault="00B03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53" w:rsidRDefault="00895553" w:rsidP="00B0317B">
      <w:pPr>
        <w:spacing w:after="0" w:line="240" w:lineRule="auto"/>
      </w:pPr>
      <w:r>
        <w:separator/>
      </w:r>
    </w:p>
  </w:footnote>
  <w:footnote w:type="continuationSeparator" w:id="0">
    <w:p w:rsidR="00895553" w:rsidRDefault="00895553" w:rsidP="00B03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008"/>
    <w:multiLevelType w:val="hybridMultilevel"/>
    <w:tmpl w:val="5C04772C"/>
    <w:lvl w:ilvl="0" w:tplc="621658B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3FC"/>
    <w:multiLevelType w:val="hybridMultilevel"/>
    <w:tmpl w:val="F52C42D6"/>
    <w:lvl w:ilvl="0" w:tplc="8988875A">
      <w:start w:val="1"/>
      <w:numFmt w:val="lowerLetter"/>
      <w:lvlText w:val="%1)"/>
      <w:lvlJc w:val="left"/>
      <w:pPr>
        <w:ind w:left="3240" w:hanging="360"/>
      </w:pPr>
    </w:lvl>
    <w:lvl w:ilvl="1" w:tplc="04050019">
      <w:start w:val="1"/>
      <w:numFmt w:val="lowerLetter"/>
      <w:lvlText w:val="%2."/>
      <w:lvlJc w:val="left"/>
      <w:pPr>
        <w:ind w:left="4167" w:hanging="360"/>
      </w:pPr>
    </w:lvl>
    <w:lvl w:ilvl="2" w:tplc="0405001B">
      <w:start w:val="1"/>
      <w:numFmt w:val="lowerRoman"/>
      <w:lvlText w:val="%3."/>
      <w:lvlJc w:val="right"/>
      <w:pPr>
        <w:ind w:left="4887" w:hanging="180"/>
      </w:pPr>
    </w:lvl>
    <w:lvl w:ilvl="3" w:tplc="0405000F">
      <w:start w:val="1"/>
      <w:numFmt w:val="decimal"/>
      <w:lvlText w:val="%4."/>
      <w:lvlJc w:val="left"/>
      <w:pPr>
        <w:ind w:left="5607" w:hanging="360"/>
      </w:pPr>
    </w:lvl>
    <w:lvl w:ilvl="4" w:tplc="04050019">
      <w:start w:val="1"/>
      <w:numFmt w:val="lowerLetter"/>
      <w:lvlText w:val="%5."/>
      <w:lvlJc w:val="left"/>
      <w:pPr>
        <w:ind w:left="6327" w:hanging="360"/>
      </w:pPr>
    </w:lvl>
    <w:lvl w:ilvl="5" w:tplc="0405001B">
      <w:start w:val="1"/>
      <w:numFmt w:val="lowerRoman"/>
      <w:lvlText w:val="%6."/>
      <w:lvlJc w:val="right"/>
      <w:pPr>
        <w:ind w:left="7047" w:hanging="180"/>
      </w:pPr>
    </w:lvl>
    <w:lvl w:ilvl="6" w:tplc="0405000F">
      <w:start w:val="1"/>
      <w:numFmt w:val="decimal"/>
      <w:lvlText w:val="%7."/>
      <w:lvlJc w:val="left"/>
      <w:pPr>
        <w:ind w:left="7767" w:hanging="360"/>
      </w:pPr>
    </w:lvl>
    <w:lvl w:ilvl="7" w:tplc="04050019">
      <w:start w:val="1"/>
      <w:numFmt w:val="lowerLetter"/>
      <w:lvlText w:val="%8."/>
      <w:lvlJc w:val="left"/>
      <w:pPr>
        <w:ind w:left="8487" w:hanging="360"/>
      </w:pPr>
    </w:lvl>
    <w:lvl w:ilvl="8" w:tplc="0405001B">
      <w:start w:val="1"/>
      <w:numFmt w:val="lowerRoman"/>
      <w:lvlText w:val="%9."/>
      <w:lvlJc w:val="right"/>
      <w:pPr>
        <w:ind w:left="9207" w:hanging="180"/>
      </w:pPr>
    </w:lvl>
  </w:abstractNum>
  <w:abstractNum w:abstractNumId="2" w15:restartNumberingAfterBreak="0">
    <w:nsid w:val="0F2B19F2"/>
    <w:multiLevelType w:val="hybridMultilevel"/>
    <w:tmpl w:val="6EA428C4"/>
    <w:lvl w:ilvl="0" w:tplc="364EA5F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2D1C"/>
    <w:multiLevelType w:val="hybridMultilevel"/>
    <w:tmpl w:val="95F2E9E4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F4442"/>
    <w:multiLevelType w:val="hybridMultilevel"/>
    <w:tmpl w:val="35F0B9AA"/>
    <w:lvl w:ilvl="0" w:tplc="32D6A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035B2"/>
    <w:multiLevelType w:val="hybridMultilevel"/>
    <w:tmpl w:val="4FEC6A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3FA5"/>
    <w:multiLevelType w:val="hybridMultilevel"/>
    <w:tmpl w:val="AFBAE9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0993"/>
    <w:multiLevelType w:val="hybridMultilevel"/>
    <w:tmpl w:val="46463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411B"/>
    <w:multiLevelType w:val="hybridMultilevel"/>
    <w:tmpl w:val="ED22BE48"/>
    <w:lvl w:ilvl="0" w:tplc="7C46E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817CB"/>
    <w:multiLevelType w:val="hybridMultilevel"/>
    <w:tmpl w:val="1DDA7A6E"/>
    <w:lvl w:ilvl="0" w:tplc="BD7A6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F9E8E598">
      <w:start w:val="1"/>
      <w:numFmt w:val="upperLetter"/>
      <w:lvlText w:val="%5)"/>
      <w:lvlJc w:val="left"/>
      <w:pPr>
        <w:ind w:left="360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24F9E"/>
    <w:multiLevelType w:val="hybridMultilevel"/>
    <w:tmpl w:val="A724A860"/>
    <w:lvl w:ilvl="0" w:tplc="0CE05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DC146A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A3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2967356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9E8E598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A7ABB"/>
    <w:multiLevelType w:val="hybridMultilevel"/>
    <w:tmpl w:val="5114ED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43E60"/>
    <w:multiLevelType w:val="hybridMultilevel"/>
    <w:tmpl w:val="1DDA7A6E"/>
    <w:lvl w:ilvl="0" w:tplc="BD7A6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F9E8E598">
      <w:start w:val="1"/>
      <w:numFmt w:val="upperLetter"/>
      <w:lvlText w:val="%5)"/>
      <w:lvlJc w:val="left"/>
      <w:pPr>
        <w:ind w:left="644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4D4CA7"/>
    <w:multiLevelType w:val="hybridMultilevel"/>
    <w:tmpl w:val="195409B4"/>
    <w:lvl w:ilvl="0" w:tplc="7828338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BD7A6BA0">
      <w:start w:val="1"/>
      <w:numFmt w:val="upperLetter"/>
      <w:lvlText w:val="%2)"/>
      <w:lvlJc w:val="left"/>
      <w:pPr>
        <w:ind w:left="181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D2744"/>
    <w:multiLevelType w:val="hybridMultilevel"/>
    <w:tmpl w:val="C4326358"/>
    <w:lvl w:ilvl="0" w:tplc="C32AD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659BD"/>
    <w:multiLevelType w:val="hybridMultilevel"/>
    <w:tmpl w:val="F75041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B7"/>
    <w:rsid w:val="00004339"/>
    <w:rsid w:val="000F2BDC"/>
    <w:rsid w:val="001D3811"/>
    <w:rsid w:val="001E3BDE"/>
    <w:rsid w:val="001F1B99"/>
    <w:rsid w:val="002C541C"/>
    <w:rsid w:val="002E319A"/>
    <w:rsid w:val="002F390A"/>
    <w:rsid w:val="00334A13"/>
    <w:rsid w:val="00335478"/>
    <w:rsid w:val="003536D3"/>
    <w:rsid w:val="003811B7"/>
    <w:rsid w:val="003B1A9F"/>
    <w:rsid w:val="00417DF4"/>
    <w:rsid w:val="00462298"/>
    <w:rsid w:val="004802A2"/>
    <w:rsid w:val="00482312"/>
    <w:rsid w:val="004C17A9"/>
    <w:rsid w:val="004F54BC"/>
    <w:rsid w:val="005417D2"/>
    <w:rsid w:val="005428F2"/>
    <w:rsid w:val="005475B7"/>
    <w:rsid w:val="00550070"/>
    <w:rsid w:val="0055696C"/>
    <w:rsid w:val="00582E43"/>
    <w:rsid w:val="005B44DE"/>
    <w:rsid w:val="005E0C34"/>
    <w:rsid w:val="005F1677"/>
    <w:rsid w:val="006031DA"/>
    <w:rsid w:val="00653D76"/>
    <w:rsid w:val="006A1D57"/>
    <w:rsid w:val="007317D5"/>
    <w:rsid w:val="00743D56"/>
    <w:rsid w:val="00744C46"/>
    <w:rsid w:val="00744C95"/>
    <w:rsid w:val="00787CE0"/>
    <w:rsid w:val="007E4229"/>
    <w:rsid w:val="0084130A"/>
    <w:rsid w:val="00895335"/>
    <w:rsid w:val="00895553"/>
    <w:rsid w:val="008A4B99"/>
    <w:rsid w:val="0090256A"/>
    <w:rsid w:val="00932B3C"/>
    <w:rsid w:val="00993CB9"/>
    <w:rsid w:val="009F6D83"/>
    <w:rsid w:val="00A10B8C"/>
    <w:rsid w:val="00A44C3C"/>
    <w:rsid w:val="00AB0349"/>
    <w:rsid w:val="00B0317B"/>
    <w:rsid w:val="00B13418"/>
    <w:rsid w:val="00B177A4"/>
    <w:rsid w:val="00B45880"/>
    <w:rsid w:val="00B47678"/>
    <w:rsid w:val="00B51DE7"/>
    <w:rsid w:val="00B56B17"/>
    <w:rsid w:val="00BA353A"/>
    <w:rsid w:val="00BB05A1"/>
    <w:rsid w:val="00BE2FB3"/>
    <w:rsid w:val="00C5662A"/>
    <w:rsid w:val="00CC5578"/>
    <w:rsid w:val="00CC7CC0"/>
    <w:rsid w:val="00CD6748"/>
    <w:rsid w:val="00CF2D93"/>
    <w:rsid w:val="00CF542E"/>
    <w:rsid w:val="00CF7F8B"/>
    <w:rsid w:val="00D20523"/>
    <w:rsid w:val="00D94E2E"/>
    <w:rsid w:val="00DD6DB2"/>
    <w:rsid w:val="00EA5478"/>
    <w:rsid w:val="00EC2FBC"/>
    <w:rsid w:val="00EF1F13"/>
    <w:rsid w:val="00F264D4"/>
    <w:rsid w:val="00F537A7"/>
    <w:rsid w:val="00F90085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A5B7DC-60DA-40CE-B1E5-8D0CD42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17B"/>
  </w:style>
  <w:style w:type="paragraph" w:styleId="Zpat">
    <w:name w:val="footer"/>
    <w:basedOn w:val="Normln"/>
    <w:link w:val="ZpatChar"/>
    <w:uiPriority w:val="99"/>
    <w:unhideWhenUsed/>
    <w:rsid w:val="00B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17B"/>
  </w:style>
  <w:style w:type="paragraph" w:styleId="Odstavecseseznamem">
    <w:name w:val="List Paragraph"/>
    <w:basedOn w:val="Normln"/>
    <w:uiPriority w:val="34"/>
    <w:qFormat/>
    <w:rsid w:val="00B1341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1B55-89D4-4466-8B1C-FE3C893D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3056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Hofman Ladislav</cp:lastModifiedBy>
  <cp:revision>6</cp:revision>
  <cp:lastPrinted>2020-12-17T07:47:00Z</cp:lastPrinted>
  <dcterms:created xsi:type="dcterms:W3CDTF">2020-12-21T09:03:00Z</dcterms:created>
  <dcterms:modified xsi:type="dcterms:W3CDTF">2021-02-18T10:51:00Z</dcterms:modified>
</cp:coreProperties>
</file>